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9010"/>
      </w:tblGrid>
      <w:tr w:rsidR="004C0544" w14:paraId="67921074" w14:textId="77777777" w:rsidTr="002F449A">
        <w:tc>
          <w:tcPr>
            <w:tcW w:w="9010" w:type="dxa"/>
            <w:shd w:val="clear" w:color="auto" w:fill="D9E2F3" w:themeFill="accent1" w:themeFillTint="33"/>
          </w:tcPr>
          <w:p w14:paraId="0AD10FA1" w14:textId="6968560F" w:rsidR="004C0544" w:rsidRPr="0062386D" w:rsidRDefault="004C0544" w:rsidP="002F449A">
            <w:pPr>
              <w:pStyle w:val="Heading2"/>
              <w:rPr>
                <w:rFonts w:eastAsiaTheme="minorHAnsi"/>
              </w:rPr>
            </w:pPr>
            <w:bookmarkStart w:id="0" w:name="_Toc16493268"/>
            <w:bookmarkStart w:id="1" w:name="_GoBack"/>
            <w:bookmarkEnd w:id="1"/>
            <w:r w:rsidRPr="0062386D">
              <w:rPr>
                <w:rFonts w:eastAsiaTheme="minorHAnsi"/>
              </w:rPr>
              <w:t>Economic complexity</w:t>
            </w:r>
            <w:bookmarkEnd w:id="0"/>
          </w:p>
          <w:p w14:paraId="11513822" w14:textId="77777777" w:rsidR="004C0544" w:rsidRDefault="004C0544" w:rsidP="002F449A"/>
          <w:p w14:paraId="73E31D02" w14:textId="77777777" w:rsidR="004C0544" w:rsidRPr="007C14FC" w:rsidRDefault="004C0544" w:rsidP="002F449A">
            <w:pPr>
              <w:spacing w:after="120"/>
              <w:jc w:val="both"/>
            </w:pPr>
            <w:r w:rsidRPr="007C14FC">
              <w:t xml:space="preserve">Recently researchers at Harvard University's </w:t>
            </w:r>
            <w:proofErr w:type="spellStart"/>
            <w:r w:rsidRPr="007C14FC">
              <w:t>Center</w:t>
            </w:r>
            <w:proofErr w:type="spellEnd"/>
            <w:r w:rsidRPr="007C14FC">
              <w:t xml:space="preserve"> for International Development Growth Lab</w:t>
            </w:r>
            <w:r>
              <w:rPr>
                <w:rStyle w:val="FootnoteReference"/>
              </w:rPr>
              <w:footnoteReference w:id="1"/>
            </w:r>
            <w:r w:rsidRPr="007C14FC">
              <w:t xml:space="preserve"> have predicted Uganda to be one of the fastest growing economies in the world in the coming decade.</w:t>
            </w:r>
          </w:p>
          <w:p w14:paraId="6ADCB974" w14:textId="77777777" w:rsidR="004C0544" w:rsidRPr="007C14FC" w:rsidRDefault="004C0544" w:rsidP="002F449A">
            <w:pPr>
              <w:spacing w:after="120"/>
              <w:jc w:val="both"/>
            </w:pPr>
          </w:p>
          <w:p w14:paraId="30C38E5A" w14:textId="77777777" w:rsidR="004C0544" w:rsidRPr="007C14FC" w:rsidRDefault="004C0544" w:rsidP="002F449A">
            <w:pPr>
              <w:spacing w:after="120"/>
              <w:jc w:val="both"/>
            </w:pPr>
            <w:r w:rsidRPr="007C14FC">
              <w:t>This is based on an indicator developed by the Atlas of Economic Complexity</w:t>
            </w:r>
            <w:r>
              <w:rPr>
                <w:rStyle w:val="FootnoteReference"/>
              </w:rPr>
              <w:footnoteReference w:id="2"/>
            </w:r>
            <w:r w:rsidRPr="007C14FC">
              <w:t>, called economic complexity. Essentially it is an indicator of the diversity and sophistication of the productive capabilities embedded in the exports of a country. To put it simply, rich countries tend to do many complex things, like building computers or vehicles or making movies. These products require a lot of collaboration, and also a lot of learnt knowledge, and practice. In contrast, poor countries tend to do a few, simple things, such as exporting agricultural produce, or primary commodities, and maybe some light manufactures. The collaboration and embedded knowledge required for these outputs is less. However, as a country develops it learns how to move into more complex industries, and so is able to produce a greater range of products. As a country learns how to produce a new product, it opens up avenues for it to learn to make similar products.</w:t>
            </w:r>
          </w:p>
          <w:p w14:paraId="5938EC3C" w14:textId="77777777" w:rsidR="004C0544" w:rsidRPr="007C14FC" w:rsidRDefault="004C0544" w:rsidP="002F449A">
            <w:pPr>
              <w:spacing w:after="120"/>
              <w:jc w:val="both"/>
            </w:pPr>
          </w:p>
          <w:p w14:paraId="77CB95F5" w14:textId="77777777" w:rsidR="004C0544" w:rsidRPr="007C14FC" w:rsidRDefault="004C0544" w:rsidP="002F449A">
            <w:pPr>
              <w:spacing w:after="120"/>
              <w:jc w:val="both"/>
            </w:pPr>
            <w:r w:rsidRPr="007C14FC">
              <w:t>For example, once the knowledge and capability to build bricks is established, industry may be able to move into producing cement, or something similar. When a country establishes an industry producing paint, it may be also able to move into producing cleaning fluids, or some processed foodstuffs, or even some kinds of packaging. Once a country learns how to make microwaves, they might also be able to build fridges, or vehicles, or computer chips. Essentially, the more complex an industry developed, the greater number and more complex industries that knowledge can complement. Knowledge can diffuse from one industry to another over time.</w:t>
            </w:r>
          </w:p>
          <w:p w14:paraId="5844C1E0" w14:textId="77777777" w:rsidR="004C0544" w:rsidRPr="007C14FC" w:rsidRDefault="004C0544" w:rsidP="002F449A">
            <w:pPr>
              <w:spacing w:after="120"/>
              <w:jc w:val="both"/>
            </w:pPr>
          </w:p>
          <w:p w14:paraId="60CEA18A" w14:textId="77777777" w:rsidR="004C0544" w:rsidRPr="007C14FC" w:rsidRDefault="004C0544" w:rsidP="002F449A">
            <w:pPr>
              <w:spacing w:after="120"/>
              <w:jc w:val="both"/>
            </w:pPr>
            <w:r w:rsidRPr="007C14FC">
              <w:t>This makes sense. You can imagine a country that has a labour force well trained in a microwave factory being able to work in a fridge factory. It is, however, a greater leap for a labour force engaged in primary agriculture to retrain for a complex assembly line or electrical engineering task.</w:t>
            </w:r>
          </w:p>
          <w:p w14:paraId="72180BF0" w14:textId="77777777" w:rsidR="004C0544" w:rsidRPr="007C14FC" w:rsidRDefault="004C0544" w:rsidP="002F449A">
            <w:pPr>
              <w:spacing w:after="120"/>
              <w:jc w:val="both"/>
            </w:pPr>
          </w:p>
          <w:p w14:paraId="1F8EEA1B" w14:textId="77777777" w:rsidR="004C0544" w:rsidRPr="007C14FC" w:rsidRDefault="004C0544" w:rsidP="002F449A">
            <w:pPr>
              <w:spacing w:after="120"/>
              <w:jc w:val="both"/>
            </w:pPr>
            <w:r w:rsidRPr="007C14FC">
              <w:t>The index is created from trade data. It looks at what kind of export products might be similar. It judges this by looking at how many countries produce any two products. The more countries that produce both products, the more similar they must be. That means if you can learn to do one, you could learn to do the other. For those products where few countries export both, it means they are very different in terms of complexity, and so there is a greater learning gap between them. To illustrate the point, many countries export rice, but few export satellites. From this we can infer there is a big complexity difference between producing rice and producing satellites. In contrast many countries that produce rice may also produce chicken, there is a small complexity difference between these two products. In addition, countries that export satellites may also export smartphones, this indicates they have a similar complexity, and so if a country learns how to make smartphones, they may be capable of quickly developing the technology and knowledge to build satellites.</w:t>
            </w:r>
          </w:p>
          <w:p w14:paraId="48B7C149" w14:textId="77777777" w:rsidR="004C0544" w:rsidRPr="007C14FC" w:rsidRDefault="004C0544" w:rsidP="002F449A">
            <w:pPr>
              <w:spacing w:after="120"/>
              <w:jc w:val="both"/>
            </w:pPr>
          </w:p>
          <w:p w14:paraId="4C7EDF31" w14:textId="77777777" w:rsidR="004C0544" w:rsidRPr="007C14FC" w:rsidRDefault="004C0544" w:rsidP="002F449A">
            <w:pPr>
              <w:spacing w:after="120"/>
              <w:jc w:val="both"/>
            </w:pPr>
            <w:r w:rsidRPr="007C14FC">
              <w:lastRenderedPageBreak/>
              <w:t>The index is complemented by considering how much you know, in terms of the complexity of what you can produce, compared to how much you should know, in terms of how rich you are. If you know a lot relative to your wealth, the indicator will suggest you have the potential to grow quickly. If you do not know a lot relative to what would be expected of your wealth, the indicator will suggest you may struggle to grow.</w:t>
            </w:r>
          </w:p>
          <w:p w14:paraId="3A453431" w14:textId="77777777" w:rsidR="004C0544" w:rsidRPr="007C14FC" w:rsidRDefault="004C0544" w:rsidP="002F449A">
            <w:pPr>
              <w:spacing w:after="120"/>
              <w:jc w:val="both"/>
            </w:pPr>
          </w:p>
          <w:p w14:paraId="0BF00A08" w14:textId="77777777" w:rsidR="004C0544" w:rsidRPr="007C14FC" w:rsidRDefault="004C0544" w:rsidP="002F449A">
            <w:pPr>
              <w:spacing w:after="120"/>
              <w:jc w:val="both"/>
            </w:pPr>
            <w:r w:rsidRPr="007C14FC">
              <w:t>So, what the index tells us is, the more complex things you are currently doing, the more complex things you will soon be able to do. This is why it is a good predictor of growth, and that is what the researchers have found empirically. They have found it is a strong predictor of growth up to 10 years ahead, and so have predicted out to 2027 using 2017 trade data.</w:t>
            </w:r>
          </w:p>
          <w:p w14:paraId="12BD7A4C" w14:textId="77777777" w:rsidR="004C0544" w:rsidRPr="007C14FC" w:rsidRDefault="004C0544" w:rsidP="002F449A">
            <w:pPr>
              <w:spacing w:after="120"/>
              <w:jc w:val="both"/>
            </w:pPr>
          </w:p>
          <w:p w14:paraId="0A098197" w14:textId="77777777" w:rsidR="004C0544" w:rsidRPr="007C14FC" w:rsidRDefault="004C0544" w:rsidP="002F449A">
            <w:pPr>
              <w:spacing w:after="120"/>
              <w:jc w:val="both"/>
            </w:pPr>
            <w:r w:rsidRPr="007C14FC">
              <w:t xml:space="preserve">Uganda is forecast to grow the fastest of all countries over the decade, with a growth projection of 7.61% (see </w:t>
            </w:r>
            <w:r w:rsidRPr="00AF3BB3">
              <w:rPr>
                <w:i/>
                <w:iCs/>
              </w:rPr>
              <w:t>Figure 3</w:t>
            </w:r>
            <w:r w:rsidRPr="007C14FC">
              <w:t>). This is because Uganda has a fairly rich ‘adjacent possible’. In other words, Uganda has the potential to learn a lot of new, complex industries in the coming years, relative to its wealth level.</w:t>
            </w:r>
          </w:p>
          <w:p w14:paraId="29BD3860" w14:textId="77777777" w:rsidR="004C0544" w:rsidRPr="007C14FC" w:rsidRDefault="004C0544" w:rsidP="002F449A"/>
          <w:p w14:paraId="5B288F65" w14:textId="77777777" w:rsidR="004C0544" w:rsidRPr="00755328" w:rsidRDefault="004C0544" w:rsidP="002F449A">
            <w:pPr>
              <w:pStyle w:val="Caption"/>
              <w:rPr>
                <w:sz w:val="24"/>
                <w:szCs w:val="24"/>
              </w:rPr>
            </w:pPr>
            <w:bookmarkStart w:id="2" w:name="_Toc16493710"/>
            <w:r w:rsidRPr="00755328">
              <w:rPr>
                <w:sz w:val="24"/>
                <w:szCs w:val="24"/>
              </w:rPr>
              <w:t xml:space="preserve">Figure </w:t>
            </w:r>
            <w:r w:rsidRPr="00755328">
              <w:rPr>
                <w:sz w:val="24"/>
                <w:szCs w:val="24"/>
              </w:rPr>
              <w:fldChar w:fldCharType="begin"/>
            </w:r>
            <w:r w:rsidRPr="00755328">
              <w:rPr>
                <w:sz w:val="24"/>
                <w:szCs w:val="24"/>
              </w:rPr>
              <w:instrText xml:space="preserve"> SEQ Figure \* ARABIC </w:instrText>
            </w:r>
            <w:r w:rsidRPr="00755328">
              <w:rPr>
                <w:sz w:val="24"/>
                <w:szCs w:val="24"/>
              </w:rPr>
              <w:fldChar w:fldCharType="separate"/>
            </w:r>
            <w:r>
              <w:rPr>
                <w:noProof/>
                <w:sz w:val="24"/>
                <w:szCs w:val="24"/>
              </w:rPr>
              <w:t>3</w:t>
            </w:r>
            <w:r w:rsidRPr="00755328">
              <w:rPr>
                <w:sz w:val="24"/>
                <w:szCs w:val="24"/>
              </w:rPr>
              <w:fldChar w:fldCharType="end"/>
            </w:r>
            <w:r w:rsidRPr="00755328">
              <w:rPr>
                <w:sz w:val="24"/>
                <w:szCs w:val="24"/>
              </w:rPr>
              <w:t xml:space="preserve">: </w:t>
            </w:r>
            <w:r>
              <w:rPr>
                <w:sz w:val="24"/>
                <w:szCs w:val="24"/>
              </w:rPr>
              <w:t>Growth projections by continent</w:t>
            </w:r>
            <w:bookmarkEnd w:id="2"/>
          </w:p>
          <w:p w14:paraId="3E11EB56" w14:textId="77777777" w:rsidR="004C0544" w:rsidRDefault="004C0544" w:rsidP="002F449A">
            <w:pPr>
              <w:jc w:val="center"/>
            </w:pPr>
            <w:r>
              <w:rPr>
                <w:rFonts w:ascii="Arial" w:hAnsi="Arial" w:cs="Arial"/>
                <w:color w:val="000000"/>
                <w:sz w:val="22"/>
                <w:szCs w:val="22"/>
                <w:bdr w:val="none" w:sz="0" w:space="0" w:color="auto" w:frame="1"/>
              </w:rPr>
              <w:fldChar w:fldCharType="begin"/>
            </w:r>
            <w:r>
              <w:rPr>
                <w:rFonts w:ascii="Arial" w:hAnsi="Arial" w:cs="Arial"/>
                <w:color w:val="000000"/>
                <w:sz w:val="22"/>
                <w:szCs w:val="22"/>
                <w:bdr w:val="none" w:sz="0" w:space="0" w:color="auto" w:frame="1"/>
              </w:rPr>
              <w:instrText xml:space="preserve"> INCLUDEPICTURE "https://lh6.googleusercontent.com/lHUtGMO00gzx1oqwsKwXa_CPZc5yNZP6GLtZwcP42Rix-mwAzLPQrrGldCfioMUn0C7p8UnAkhl_vIBGVyjlx33yCaVpVJZpH873XF5tzkc1cOfD7yAF9PD4GJe2AP6JraY8dFsH" \* MERGEFORMATINET </w:instrText>
            </w:r>
            <w:r>
              <w:rPr>
                <w:rFonts w:ascii="Arial" w:hAnsi="Arial" w:cs="Arial"/>
                <w:color w:val="000000"/>
                <w:sz w:val="22"/>
                <w:szCs w:val="22"/>
                <w:bdr w:val="none" w:sz="0" w:space="0" w:color="auto" w:frame="1"/>
              </w:rPr>
              <w:fldChar w:fldCharType="separate"/>
            </w:r>
            <w:r>
              <w:rPr>
                <w:rFonts w:ascii="Arial" w:hAnsi="Arial" w:cs="Arial"/>
                <w:noProof/>
                <w:color w:val="000000"/>
                <w:sz w:val="22"/>
                <w:szCs w:val="22"/>
                <w:bdr w:val="none" w:sz="0" w:space="0" w:color="auto" w:frame="1"/>
                <w:lang w:val="en-US" w:eastAsia="en-US"/>
              </w:rPr>
              <w:drawing>
                <wp:inline distT="0" distB="0" distL="0" distR="0" wp14:anchorId="698E0F93" wp14:editId="09F867A7">
                  <wp:extent cx="5577405" cy="4076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88411" cy="4084745"/>
                          </a:xfrm>
                          <a:prstGeom prst="rect">
                            <a:avLst/>
                          </a:prstGeom>
                          <a:noFill/>
                          <a:ln>
                            <a:noFill/>
                          </a:ln>
                        </pic:spPr>
                      </pic:pic>
                    </a:graphicData>
                  </a:graphic>
                </wp:inline>
              </w:drawing>
            </w:r>
            <w:r>
              <w:rPr>
                <w:rFonts w:ascii="Arial" w:hAnsi="Arial" w:cs="Arial"/>
                <w:color w:val="000000"/>
                <w:sz w:val="22"/>
                <w:szCs w:val="22"/>
                <w:bdr w:val="none" w:sz="0" w:space="0" w:color="auto" w:frame="1"/>
              </w:rPr>
              <w:fldChar w:fldCharType="end"/>
            </w:r>
          </w:p>
          <w:p w14:paraId="507E0D52" w14:textId="77777777" w:rsidR="004C0544" w:rsidRPr="006A1F29" w:rsidRDefault="004C0544" w:rsidP="002F449A">
            <w:pPr>
              <w:jc w:val="both"/>
              <w:rPr>
                <w:color w:val="44546A" w:themeColor="text2"/>
              </w:rPr>
            </w:pPr>
            <w:r w:rsidRPr="00755328">
              <w:rPr>
                <w:i/>
                <w:iCs/>
                <w:color w:val="44546A" w:themeColor="text2"/>
                <w:lang w:val="en-US"/>
              </w:rPr>
              <w:t xml:space="preserve">Source: </w:t>
            </w:r>
            <w:r w:rsidRPr="006A1F29">
              <w:rPr>
                <w:i/>
                <w:iCs/>
                <w:color w:val="44546A" w:themeColor="text2"/>
                <w:lang w:val="en-US"/>
              </w:rPr>
              <w:t>Atlas of Economic Complexity</w:t>
            </w:r>
          </w:p>
          <w:p w14:paraId="0ED1DCC8" w14:textId="77777777" w:rsidR="004C0544" w:rsidRDefault="004C0544" w:rsidP="002F449A"/>
          <w:p w14:paraId="240F9DE7" w14:textId="77777777" w:rsidR="004C0544" w:rsidRPr="00DD0822" w:rsidRDefault="004C0544" w:rsidP="002F449A">
            <w:pPr>
              <w:spacing w:after="120"/>
            </w:pPr>
            <w:r w:rsidRPr="00DD0822">
              <w:lastRenderedPageBreak/>
              <w:t xml:space="preserve">We can also see in </w:t>
            </w:r>
            <w:r w:rsidRPr="00AF3BB3">
              <w:rPr>
                <w:i/>
                <w:iCs/>
              </w:rPr>
              <w:t>Figure 4</w:t>
            </w:r>
            <w:r>
              <w:t xml:space="preserve"> and </w:t>
            </w:r>
            <w:r w:rsidRPr="00AF3BB3">
              <w:rPr>
                <w:i/>
                <w:iCs/>
              </w:rPr>
              <w:t>Table 2</w:t>
            </w:r>
            <w:r w:rsidRPr="00DD0822">
              <w:t xml:space="preserve"> how Uganda has improved its economic complexity over the past few years relative to its neighbours. </w:t>
            </w:r>
            <w:r>
              <w:t xml:space="preserve">It has grown rapidly from -1.92 in 1995 (the first year for which the indicator is calculated). Uganda managed to overtake Tanzania in terms of economic complexity in 2001 and has remained more economically complex since 2005. In 2015 Uganda registered a better economic complexity index than Kenya, and the two remain close today, with Uganda scored at -0.55 and Kenya at -0.49. </w:t>
            </w:r>
            <w:r w:rsidRPr="00DD0822">
              <w:t>This indicates it has the potential to grow faster in the coming years.</w:t>
            </w:r>
          </w:p>
          <w:p w14:paraId="06297812" w14:textId="77777777" w:rsidR="004C0544" w:rsidRDefault="004C0544" w:rsidP="002F449A"/>
          <w:p w14:paraId="7FEFF326" w14:textId="77777777" w:rsidR="004C0544" w:rsidRPr="00965EA3" w:rsidRDefault="004C0544" w:rsidP="002F449A">
            <w:pPr>
              <w:pStyle w:val="Caption"/>
              <w:rPr>
                <w:sz w:val="24"/>
                <w:szCs w:val="24"/>
              </w:rPr>
            </w:pPr>
            <w:bookmarkStart w:id="3" w:name="_Toc16493711"/>
            <w:r w:rsidRPr="00755328">
              <w:rPr>
                <w:sz w:val="24"/>
                <w:szCs w:val="24"/>
              </w:rPr>
              <w:t xml:space="preserve">Figure </w:t>
            </w:r>
            <w:r w:rsidRPr="00755328">
              <w:rPr>
                <w:sz w:val="24"/>
                <w:szCs w:val="24"/>
              </w:rPr>
              <w:fldChar w:fldCharType="begin"/>
            </w:r>
            <w:r w:rsidRPr="00755328">
              <w:rPr>
                <w:sz w:val="24"/>
                <w:szCs w:val="24"/>
              </w:rPr>
              <w:instrText xml:space="preserve"> SEQ Figure \* ARABIC </w:instrText>
            </w:r>
            <w:r w:rsidRPr="00755328">
              <w:rPr>
                <w:sz w:val="24"/>
                <w:szCs w:val="24"/>
              </w:rPr>
              <w:fldChar w:fldCharType="separate"/>
            </w:r>
            <w:r>
              <w:rPr>
                <w:noProof/>
                <w:sz w:val="24"/>
                <w:szCs w:val="24"/>
              </w:rPr>
              <w:t>4</w:t>
            </w:r>
            <w:r w:rsidRPr="00755328">
              <w:rPr>
                <w:sz w:val="24"/>
                <w:szCs w:val="24"/>
              </w:rPr>
              <w:fldChar w:fldCharType="end"/>
            </w:r>
            <w:r w:rsidRPr="00755328">
              <w:rPr>
                <w:sz w:val="24"/>
                <w:szCs w:val="24"/>
              </w:rPr>
              <w:t xml:space="preserve">: </w:t>
            </w:r>
            <w:r>
              <w:rPr>
                <w:sz w:val="24"/>
                <w:szCs w:val="24"/>
              </w:rPr>
              <w:t>Economic Complexity Index over time, selected countries</w:t>
            </w:r>
            <w:bookmarkEnd w:id="3"/>
          </w:p>
          <w:p w14:paraId="334FE3E1" w14:textId="77777777" w:rsidR="004C0544" w:rsidRDefault="004C0544" w:rsidP="002F449A">
            <w:r>
              <w:rPr>
                <w:noProof/>
                <w:lang w:val="en-US" w:eastAsia="en-US"/>
              </w:rPr>
              <w:drawing>
                <wp:inline distT="0" distB="0" distL="0" distR="0" wp14:anchorId="19AD1EB4" wp14:editId="217F993D">
                  <wp:extent cx="5580000" cy="3600000"/>
                  <wp:effectExtent l="0" t="0" r="8255" b="6985"/>
                  <wp:docPr id="4" name="Chart 4">
                    <a:extLst xmlns:a="http://schemas.openxmlformats.org/drawingml/2006/main">
                      <a:ext uri="{FF2B5EF4-FFF2-40B4-BE49-F238E27FC236}">
                        <a16:creationId xmlns:a16="http://schemas.microsoft.com/office/drawing/2014/main" id="{6457458E-B616-034D-80F3-FC1DEDB9F9F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AE5F7F2" w14:textId="77777777" w:rsidR="004C0544" w:rsidRPr="006A1F29" w:rsidRDefault="004C0544" w:rsidP="002F449A">
            <w:pPr>
              <w:jc w:val="both"/>
              <w:rPr>
                <w:color w:val="44546A" w:themeColor="text2"/>
              </w:rPr>
            </w:pPr>
            <w:r w:rsidRPr="00755328">
              <w:rPr>
                <w:i/>
                <w:iCs/>
                <w:color w:val="44546A" w:themeColor="text2"/>
                <w:lang w:val="en-US"/>
              </w:rPr>
              <w:t xml:space="preserve">Source: </w:t>
            </w:r>
            <w:r w:rsidRPr="006A1F29">
              <w:rPr>
                <w:i/>
                <w:iCs/>
                <w:color w:val="44546A" w:themeColor="text2"/>
                <w:lang w:val="en-US"/>
              </w:rPr>
              <w:t>Atlas of Economic Complexity</w:t>
            </w:r>
          </w:p>
          <w:p w14:paraId="0365C427" w14:textId="77777777" w:rsidR="004C0544" w:rsidRDefault="004C0544" w:rsidP="002F449A"/>
          <w:p w14:paraId="7222B959" w14:textId="77777777" w:rsidR="004C0544" w:rsidRPr="00165A3F" w:rsidRDefault="004C0544" w:rsidP="002F449A">
            <w:pPr>
              <w:pStyle w:val="Caption"/>
              <w:rPr>
                <w:noProof/>
                <w:sz w:val="24"/>
                <w:szCs w:val="24"/>
              </w:rPr>
            </w:pPr>
            <w:bookmarkStart w:id="4" w:name="_Toc16493716"/>
            <w:r w:rsidRPr="00824F86">
              <w:rPr>
                <w:sz w:val="24"/>
                <w:szCs w:val="24"/>
              </w:rPr>
              <w:t xml:space="preserve">Table </w:t>
            </w:r>
            <w:r w:rsidRPr="00824F86">
              <w:rPr>
                <w:sz w:val="24"/>
                <w:szCs w:val="24"/>
              </w:rPr>
              <w:fldChar w:fldCharType="begin"/>
            </w:r>
            <w:r w:rsidRPr="00824F86">
              <w:rPr>
                <w:sz w:val="24"/>
                <w:szCs w:val="24"/>
              </w:rPr>
              <w:instrText xml:space="preserve"> SEQ Table \* ARABIC </w:instrText>
            </w:r>
            <w:r w:rsidRPr="00824F86">
              <w:rPr>
                <w:sz w:val="24"/>
                <w:szCs w:val="24"/>
              </w:rPr>
              <w:fldChar w:fldCharType="separate"/>
            </w:r>
            <w:r>
              <w:rPr>
                <w:noProof/>
                <w:sz w:val="24"/>
                <w:szCs w:val="24"/>
              </w:rPr>
              <w:t>1</w:t>
            </w:r>
            <w:r w:rsidRPr="00824F86">
              <w:rPr>
                <w:sz w:val="24"/>
                <w:szCs w:val="24"/>
              </w:rPr>
              <w:fldChar w:fldCharType="end"/>
            </w:r>
            <w:r w:rsidRPr="00824F86">
              <w:rPr>
                <w:sz w:val="24"/>
                <w:szCs w:val="24"/>
              </w:rPr>
              <w:t xml:space="preserve">: </w:t>
            </w:r>
            <w:r>
              <w:rPr>
                <w:sz w:val="24"/>
                <w:szCs w:val="24"/>
              </w:rPr>
              <w:t>Economic Complexity Index, past 10 years</w:t>
            </w:r>
            <w:bookmarkEnd w:id="4"/>
          </w:p>
          <w:tbl>
            <w:tblPr>
              <w:tblStyle w:val="GridTable4-Accent2"/>
              <w:tblW w:w="0" w:type="auto"/>
              <w:tblLook w:val="04A0" w:firstRow="1" w:lastRow="0" w:firstColumn="1" w:lastColumn="0" w:noHBand="0" w:noVBand="1"/>
            </w:tblPr>
            <w:tblGrid>
              <w:gridCol w:w="1029"/>
              <w:gridCol w:w="674"/>
              <w:gridCol w:w="674"/>
              <w:gridCol w:w="674"/>
              <w:gridCol w:w="674"/>
              <w:gridCol w:w="674"/>
              <w:gridCol w:w="674"/>
              <w:gridCol w:w="674"/>
              <w:gridCol w:w="674"/>
              <w:gridCol w:w="674"/>
              <w:gridCol w:w="674"/>
            </w:tblGrid>
            <w:tr w:rsidR="004C0544" w14:paraId="112BC09D" w14:textId="77777777" w:rsidTr="002F449A">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0" w:type="auto"/>
                  <w:noWrap/>
                  <w:hideMark/>
                </w:tcPr>
                <w:p w14:paraId="392D797A" w14:textId="77777777" w:rsidR="004C0544" w:rsidRPr="000069A4" w:rsidRDefault="004C0544" w:rsidP="002F449A">
                  <w:pPr>
                    <w:rPr>
                      <w:rFonts w:ascii="Calibri" w:hAnsi="Calibri"/>
                      <w:color w:val="000000"/>
                      <w:sz w:val="22"/>
                      <w:szCs w:val="22"/>
                    </w:rPr>
                  </w:pPr>
                </w:p>
              </w:tc>
              <w:tc>
                <w:tcPr>
                  <w:tcW w:w="0" w:type="auto"/>
                  <w:noWrap/>
                  <w:hideMark/>
                </w:tcPr>
                <w:p w14:paraId="209A17C3" w14:textId="77777777" w:rsidR="004C0544" w:rsidRPr="000069A4" w:rsidRDefault="004C0544" w:rsidP="002F449A">
                  <w:pPr>
                    <w:jc w:val="right"/>
                    <w:cnfStyle w:val="100000000000" w:firstRow="1" w:lastRow="0" w:firstColumn="0" w:lastColumn="0" w:oddVBand="0" w:evenVBand="0" w:oddHBand="0" w:evenHBand="0" w:firstRowFirstColumn="0" w:firstRowLastColumn="0" w:lastRowFirstColumn="0" w:lastRowLastColumn="0"/>
                    <w:rPr>
                      <w:rFonts w:ascii="Calibri" w:hAnsi="Calibri"/>
                      <w:b w:val="0"/>
                      <w:bCs w:val="0"/>
                      <w:color w:val="000000"/>
                      <w:sz w:val="22"/>
                      <w:szCs w:val="22"/>
                    </w:rPr>
                  </w:pPr>
                  <w:r w:rsidRPr="000069A4">
                    <w:rPr>
                      <w:rFonts w:ascii="Calibri" w:hAnsi="Calibri"/>
                      <w:color w:val="000000"/>
                      <w:sz w:val="22"/>
                      <w:szCs w:val="22"/>
                    </w:rPr>
                    <w:t>2008</w:t>
                  </w:r>
                </w:p>
              </w:tc>
              <w:tc>
                <w:tcPr>
                  <w:tcW w:w="0" w:type="auto"/>
                  <w:noWrap/>
                  <w:hideMark/>
                </w:tcPr>
                <w:p w14:paraId="528E5088" w14:textId="77777777" w:rsidR="004C0544" w:rsidRPr="000069A4" w:rsidRDefault="004C0544" w:rsidP="002F449A">
                  <w:pPr>
                    <w:jc w:val="righ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2009</w:t>
                  </w:r>
                </w:p>
              </w:tc>
              <w:tc>
                <w:tcPr>
                  <w:tcW w:w="0" w:type="auto"/>
                  <w:noWrap/>
                  <w:hideMark/>
                </w:tcPr>
                <w:p w14:paraId="38B45031" w14:textId="77777777" w:rsidR="004C0544" w:rsidRPr="000069A4" w:rsidRDefault="004C0544" w:rsidP="002F449A">
                  <w:pPr>
                    <w:jc w:val="righ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2010</w:t>
                  </w:r>
                </w:p>
              </w:tc>
              <w:tc>
                <w:tcPr>
                  <w:tcW w:w="0" w:type="auto"/>
                  <w:noWrap/>
                  <w:hideMark/>
                </w:tcPr>
                <w:p w14:paraId="78753905" w14:textId="77777777" w:rsidR="004C0544" w:rsidRPr="000069A4" w:rsidRDefault="004C0544" w:rsidP="002F449A">
                  <w:pPr>
                    <w:jc w:val="righ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2011</w:t>
                  </w:r>
                </w:p>
              </w:tc>
              <w:tc>
                <w:tcPr>
                  <w:tcW w:w="0" w:type="auto"/>
                  <w:noWrap/>
                  <w:hideMark/>
                </w:tcPr>
                <w:p w14:paraId="4419711F" w14:textId="77777777" w:rsidR="004C0544" w:rsidRPr="000069A4" w:rsidRDefault="004C0544" w:rsidP="002F449A">
                  <w:pPr>
                    <w:jc w:val="righ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2012</w:t>
                  </w:r>
                </w:p>
              </w:tc>
              <w:tc>
                <w:tcPr>
                  <w:tcW w:w="0" w:type="auto"/>
                  <w:noWrap/>
                  <w:hideMark/>
                </w:tcPr>
                <w:p w14:paraId="1F15994A" w14:textId="77777777" w:rsidR="004C0544" w:rsidRPr="000069A4" w:rsidRDefault="004C0544" w:rsidP="002F449A">
                  <w:pPr>
                    <w:jc w:val="righ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2013</w:t>
                  </w:r>
                </w:p>
              </w:tc>
              <w:tc>
                <w:tcPr>
                  <w:tcW w:w="0" w:type="auto"/>
                  <w:noWrap/>
                  <w:hideMark/>
                </w:tcPr>
                <w:p w14:paraId="1AA67C5C" w14:textId="77777777" w:rsidR="004C0544" w:rsidRPr="000069A4" w:rsidRDefault="004C0544" w:rsidP="002F449A">
                  <w:pPr>
                    <w:jc w:val="righ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2014</w:t>
                  </w:r>
                </w:p>
              </w:tc>
              <w:tc>
                <w:tcPr>
                  <w:tcW w:w="0" w:type="auto"/>
                  <w:noWrap/>
                  <w:hideMark/>
                </w:tcPr>
                <w:p w14:paraId="7FFD8C0B" w14:textId="77777777" w:rsidR="004C0544" w:rsidRPr="000069A4" w:rsidRDefault="004C0544" w:rsidP="002F449A">
                  <w:pPr>
                    <w:jc w:val="righ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2015</w:t>
                  </w:r>
                </w:p>
              </w:tc>
              <w:tc>
                <w:tcPr>
                  <w:tcW w:w="0" w:type="auto"/>
                  <w:noWrap/>
                  <w:hideMark/>
                </w:tcPr>
                <w:p w14:paraId="3CF26BCC" w14:textId="77777777" w:rsidR="004C0544" w:rsidRPr="000069A4" w:rsidRDefault="004C0544" w:rsidP="002F449A">
                  <w:pPr>
                    <w:jc w:val="righ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2016</w:t>
                  </w:r>
                </w:p>
              </w:tc>
              <w:tc>
                <w:tcPr>
                  <w:tcW w:w="0" w:type="auto"/>
                  <w:noWrap/>
                  <w:hideMark/>
                </w:tcPr>
                <w:p w14:paraId="3B1E36DE" w14:textId="77777777" w:rsidR="004C0544" w:rsidRPr="000069A4" w:rsidRDefault="004C0544" w:rsidP="002F449A">
                  <w:pPr>
                    <w:jc w:val="righ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2017</w:t>
                  </w:r>
                </w:p>
              </w:tc>
            </w:tr>
            <w:tr w:rsidR="004C0544" w14:paraId="22A1DB1E" w14:textId="77777777" w:rsidTr="002F449A">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0" w:type="auto"/>
                  <w:noWrap/>
                  <w:hideMark/>
                </w:tcPr>
                <w:p w14:paraId="5688F1F8" w14:textId="77777777" w:rsidR="004C0544" w:rsidRPr="000069A4" w:rsidRDefault="004C0544" w:rsidP="002F449A">
                  <w:pPr>
                    <w:rPr>
                      <w:rFonts w:ascii="Calibri" w:hAnsi="Calibri"/>
                      <w:color w:val="000000"/>
                      <w:sz w:val="22"/>
                      <w:szCs w:val="22"/>
                    </w:rPr>
                  </w:pPr>
                  <w:r w:rsidRPr="000069A4">
                    <w:rPr>
                      <w:rFonts w:ascii="Calibri" w:hAnsi="Calibri"/>
                      <w:color w:val="000000"/>
                      <w:sz w:val="22"/>
                      <w:szCs w:val="22"/>
                    </w:rPr>
                    <w:t>Uganda</w:t>
                  </w:r>
                </w:p>
              </w:tc>
              <w:tc>
                <w:tcPr>
                  <w:tcW w:w="0" w:type="auto"/>
                  <w:noWrap/>
                  <w:hideMark/>
                </w:tcPr>
                <w:p w14:paraId="5EB79401"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-0.64</w:t>
                  </w:r>
                </w:p>
              </w:tc>
              <w:tc>
                <w:tcPr>
                  <w:tcW w:w="0" w:type="auto"/>
                  <w:noWrap/>
                  <w:hideMark/>
                </w:tcPr>
                <w:p w14:paraId="43B5CD32"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-0.64</w:t>
                  </w:r>
                </w:p>
              </w:tc>
              <w:tc>
                <w:tcPr>
                  <w:tcW w:w="0" w:type="auto"/>
                  <w:noWrap/>
                  <w:hideMark/>
                </w:tcPr>
                <w:p w14:paraId="308DC10B"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-0.56</w:t>
                  </w:r>
                </w:p>
              </w:tc>
              <w:tc>
                <w:tcPr>
                  <w:tcW w:w="0" w:type="auto"/>
                  <w:noWrap/>
                  <w:hideMark/>
                </w:tcPr>
                <w:p w14:paraId="4933A095"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-0.5</w:t>
                  </w:r>
                </w:p>
              </w:tc>
              <w:tc>
                <w:tcPr>
                  <w:tcW w:w="0" w:type="auto"/>
                  <w:noWrap/>
                  <w:hideMark/>
                </w:tcPr>
                <w:p w14:paraId="5CA448F2"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-0.45</w:t>
                  </w:r>
                </w:p>
              </w:tc>
              <w:tc>
                <w:tcPr>
                  <w:tcW w:w="0" w:type="auto"/>
                  <w:noWrap/>
                  <w:hideMark/>
                </w:tcPr>
                <w:p w14:paraId="258F5D6F"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-0.44</w:t>
                  </w:r>
                </w:p>
              </w:tc>
              <w:tc>
                <w:tcPr>
                  <w:tcW w:w="0" w:type="auto"/>
                  <w:noWrap/>
                  <w:hideMark/>
                </w:tcPr>
                <w:p w14:paraId="080025EC"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-0.44</w:t>
                  </w:r>
                </w:p>
              </w:tc>
              <w:tc>
                <w:tcPr>
                  <w:tcW w:w="0" w:type="auto"/>
                  <w:noWrap/>
                  <w:hideMark/>
                </w:tcPr>
                <w:p w14:paraId="08BB83DD"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-0.41</w:t>
                  </w:r>
                </w:p>
              </w:tc>
              <w:tc>
                <w:tcPr>
                  <w:tcW w:w="0" w:type="auto"/>
                  <w:noWrap/>
                  <w:hideMark/>
                </w:tcPr>
                <w:p w14:paraId="1CBE6072"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-0.41</w:t>
                  </w:r>
                </w:p>
              </w:tc>
              <w:tc>
                <w:tcPr>
                  <w:tcW w:w="0" w:type="auto"/>
                  <w:noWrap/>
                  <w:hideMark/>
                </w:tcPr>
                <w:p w14:paraId="4E86C0DE"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-0.55</w:t>
                  </w:r>
                </w:p>
              </w:tc>
            </w:tr>
            <w:tr w:rsidR="004C0544" w14:paraId="05608DBE" w14:textId="77777777" w:rsidTr="002F449A">
              <w:trPr>
                <w:trHeight w:val="317"/>
              </w:trPr>
              <w:tc>
                <w:tcPr>
                  <w:cnfStyle w:val="001000000000" w:firstRow="0" w:lastRow="0" w:firstColumn="1" w:lastColumn="0" w:oddVBand="0" w:evenVBand="0" w:oddHBand="0" w:evenHBand="0" w:firstRowFirstColumn="0" w:firstRowLastColumn="0" w:lastRowFirstColumn="0" w:lastRowLastColumn="0"/>
                  <w:tcW w:w="0" w:type="auto"/>
                  <w:shd w:val="clear" w:color="auto" w:fill="FBE4D5" w:themeFill="accent2" w:themeFillTint="33"/>
                  <w:noWrap/>
                  <w:hideMark/>
                </w:tcPr>
                <w:p w14:paraId="365FD8E7" w14:textId="77777777" w:rsidR="004C0544" w:rsidRPr="000069A4" w:rsidRDefault="004C0544" w:rsidP="002F449A">
                  <w:pPr>
                    <w:rPr>
                      <w:rFonts w:ascii="Calibri" w:hAnsi="Calibri"/>
                      <w:color w:val="000000"/>
                      <w:sz w:val="22"/>
                      <w:szCs w:val="22"/>
                    </w:rPr>
                  </w:pPr>
                  <w:r w:rsidRPr="000069A4">
                    <w:rPr>
                      <w:rFonts w:ascii="Calibri" w:hAnsi="Calibri"/>
                      <w:color w:val="000000"/>
                      <w:sz w:val="22"/>
                      <w:szCs w:val="22"/>
                    </w:rPr>
                    <w:t>Kenya</w:t>
                  </w:r>
                </w:p>
              </w:tc>
              <w:tc>
                <w:tcPr>
                  <w:tcW w:w="0" w:type="auto"/>
                  <w:shd w:val="clear" w:color="auto" w:fill="FBE4D5" w:themeFill="accent2" w:themeFillTint="33"/>
                  <w:noWrap/>
                  <w:hideMark/>
                </w:tcPr>
                <w:p w14:paraId="1610E8F1" w14:textId="77777777" w:rsidR="004C0544" w:rsidRPr="000069A4" w:rsidRDefault="004C0544" w:rsidP="002F449A">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-0.36</w:t>
                  </w:r>
                </w:p>
              </w:tc>
              <w:tc>
                <w:tcPr>
                  <w:tcW w:w="0" w:type="auto"/>
                  <w:shd w:val="clear" w:color="auto" w:fill="FBE4D5" w:themeFill="accent2" w:themeFillTint="33"/>
                  <w:noWrap/>
                  <w:hideMark/>
                </w:tcPr>
                <w:p w14:paraId="21C522EB" w14:textId="77777777" w:rsidR="004C0544" w:rsidRPr="000069A4" w:rsidRDefault="004C0544" w:rsidP="002F449A">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-0.34</w:t>
                  </w:r>
                </w:p>
              </w:tc>
              <w:tc>
                <w:tcPr>
                  <w:tcW w:w="0" w:type="auto"/>
                  <w:shd w:val="clear" w:color="auto" w:fill="FBE4D5" w:themeFill="accent2" w:themeFillTint="33"/>
                  <w:noWrap/>
                  <w:hideMark/>
                </w:tcPr>
                <w:p w14:paraId="22D96225" w14:textId="77777777" w:rsidR="004C0544" w:rsidRPr="000069A4" w:rsidRDefault="004C0544" w:rsidP="002F449A">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-0.33</w:t>
                  </w:r>
                </w:p>
              </w:tc>
              <w:tc>
                <w:tcPr>
                  <w:tcW w:w="0" w:type="auto"/>
                  <w:shd w:val="clear" w:color="auto" w:fill="FBE4D5" w:themeFill="accent2" w:themeFillTint="33"/>
                  <w:noWrap/>
                  <w:hideMark/>
                </w:tcPr>
                <w:p w14:paraId="0896F7F1" w14:textId="77777777" w:rsidR="004C0544" w:rsidRPr="000069A4" w:rsidRDefault="004C0544" w:rsidP="002F449A">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-0.27</w:t>
                  </w:r>
                </w:p>
              </w:tc>
              <w:tc>
                <w:tcPr>
                  <w:tcW w:w="0" w:type="auto"/>
                  <w:shd w:val="clear" w:color="auto" w:fill="FBE4D5" w:themeFill="accent2" w:themeFillTint="33"/>
                  <w:noWrap/>
                  <w:hideMark/>
                </w:tcPr>
                <w:p w14:paraId="22B28B81" w14:textId="77777777" w:rsidR="004C0544" w:rsidRPr="000069A4" w:rsidRDefault="004C0544" w:rsidP="002F449A">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-0.31</w:t>
                  </w:r>
                </w:p>
              </w:tc>
              <w:tc>
                <w:tcPr>
                  <w:tcW w:w="0" w:type="auto"/>
                  <w:shd w:val="clear" w:color="auto" w:fill="FBE4D5" w:themeFill="accent2" w:themeFillTint="33"/>
                  <w:noWrap/>
                  <w:hideMark/>
                </w:tcPr>
                <w:p w14:paraId="369E9B1F" w14:textId="77777777" w:rsidR="004C0544" w:rsidRPr="000069A4" w:rsidRDefault="004C0544" w:rsidP="002F449A">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-0.39</w:t>
                  </w:r>
                </w:p>
              </w:tc>
              <w:tc>
                <w:tcPr>
                  <w:tcW w:w="0" w:type="auto"/>
                  <w:shd w:val="clear" w:color="auto" w:fill="FBE4D5" w:themeFill="accent2" w:themeFillTint="33"/>
                  <w:noWrap/>
                  <w:hideMark/>
                </w:tcPr>
                <w:p w14:paraId="7DB1C422" w14:textId="77777777" w:rsidR="004C0544" w:rsidRPr="000069A4" w:rsidRDefault="004C0544" w:rsidP="002F449A">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-0.41</w:t>
                  </w:r>
                </w:p>
              </w:tc>
              <w:tc>
                <w:tcPr>
                  <w:tcW w:w="0" w:type="auto"/>
                  <w:shd w:val="clear" w:color="auto" w:fill="FBE4D5" w:themeFill="accent2" w:themeFillTint="33"/>
                  <w:noWrap/>
                  <w:hideMark/>
                </w:tcPr>
                <w:p w14:paraId="27BE3E52" w14:textId="77777777" w:rsidR="004C0544" w:rsidRPr="000069A4" w:rsidRDefault="004C0544" w:rsidP="002F449A">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-0.59</w:t>
                  </w:r>
                </w:p>
              </w:tc>
              <w:tc>
                <w:tcPr>
                  <w:tcW w:w="0" w:type="auto"/>
                  <w:shd w:val="clear" w:color="auto" w:fill="FBE4D5" w:themeFill="accent2" w:themeFillTint="33"/>
                  <w:noWrap/>
                  <w:hideMark/>
                </w:tcPr>
                <w:p w14:paraId="48698DE8" w14:textId="77777777" w:rsidR="004C0544" w:rsidRPr="000069A4" w:rsidRDefault="004C0544" w:rsidP="002F449A">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-0.53</w:t>
                  </w:r>
                </w:p>
              </w:tc>
              <w:tc>
                <w:tcPr>
                  <w:tcW w:w="0" w:type="auto"/>
                  <w:shd w:val="clear" w:color="auto" w:fill="FBE4D5" w:themeFill="accent2" w:themeFillTint="33"/>
                  <w:noWrap/>
                  <w:hideMark/>
                </w:tcPr>
                <w:p w14:paraId="1475C704" w14:textId="77777777" w:rsidR="004C0544" w:rsidRPr="000069A4" w:rsidRDefault="004C0544" w:rsidP="002F449A">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-0.49</w:t>
                  </w:r>
                </w:p>
              </w:tc>
            </w:tr>
            <w:tr w:rsidR="004C0544" w14:paraId="1B582613" w14:textId="77777777" w:rsidTr="002F449A">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0" w:type="auto"/>
                  <w:noWrap/>
                  <w:hideMark/>
                </w:tcPr>
                <w:p w14:paraId="642A68B8" w14:textId="77777777" w:rsidR="004C0544" w:rsidRPr="000069A4" w:rsidRDefault="004C0544" w:rsidP="002F449A">
                  <w:pPr>
                    <w:rPr>
                      <w:rFonts w:ascii="Calibri" w:hAnsi="Calibri"/>
                      <w:color w:val="000000"/>
                      <w:sz w:val="22"/>
                      <w:szCs w:val="22"/>
                    </w:rPr>
                  </w:pPr>
                  <w:r w:rsidRPr="000069A4">
                    <w:rPr>
                      <w:rFonts w:ascii="Calibri" w:hAnsi="Calibri"/>
                      <w:color w:val="000000"/>
                      <w:sz w:val="22"/>
                      <w:szCs w:val="22"/>
                    </w:rPr>
                    <w:t>Tanzania</w:t>
                  </w:r>
                </w:p>
              </w:tc>
              <w:tc>
                <w:tcPr>
                  <w:tcW w:w="0" w:type="auto"/>
                  <w:noWrap/>
                  <w:hideMark/>
                </w:tcPr>
                <w:p w14:paraId="4A004B9C"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-0.72</w:t>
                  </w:r>
                </w:p>
              </w:tc>
              <w:tc>
                <w:tcPr>
                  <w:tcW w:w="0" w:type="auto"/>
                  <w:noWrap/>
                  <w:hideMark/>
                </w:tcPr>
                <w:p w14:paraId="086187AD"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-0.8</w:t>
                  </w:r>
                </w:p>
              </w:tc>
              <w:tc>
                <w:tcPr>
                  <w:tcW w:w="0" w:type="auto"/>
                  <w:noWrap/>
                  <w:hideMark/>
                </w:tcPr>
                <w:p w14:paraId="209EAFD2"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-0.79</w:t>
                  </w:r>
                </w:p>
              </w:tc>
              <w:tc>
                <w:tcPr>
                  <w:tcW w:w="0" w:type="auto"/>
                  <w:noWrap/>
                  <w:hideMark/>
                </w:tcPr>
                <w:p w14:paraId="02CBD912"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-0.75</w:t>
                  </w:r>
                </w:p>
              </w:tc>
              <w:tc>
                <w:tcPr>
                  <w:tcW w:w="0" w:type="auto"/>
                  <w:noWrap/>
                  <w:hideMark/>
                </w:tcPr>
                <w:p w14:paraId="6153297B"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-0.62</w:t>
                  </w:r>
                </w:p>
              </w:tc>
              <w:tc>
                <w:tcPr>
                  <w:tcW w:w="0" w:type="auto"/>
                  <w:noWrap/>
                  <w:hideMark/>
                </w:tcPr>
                <w:p w14:paraId="4E6B3864"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-0.72</w:t>
                  </w:r>
                </w:p>
              </w:tc>
              <w:tc>
                <w:tcPr>
                  <w:tcW w:w="0" w:type="auto"/>
                  <w:noWrap/>
                  <w:hideMark/>
                </w:tcPr>
                <w:p w14:paraId="025F239B"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-0.94</w:t>
                  </w:r>
                </w:p>
              </w:tc>
              <w:tc>
                <w:tcPr>
                  <w:tcW w:w="0" w:type="auto"/>
                  <w:noWrap/>
                  <w:hideMark/>
                </w:tcPr>
                <w:p w14:paraId="16E5AB88"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-0.87</w:t>
                  </w:r>
                </w:p>
              </w:tc>
              <w:tc>
                <w:tcPr>
                  <w:tcW w:w="0" w:type="auto"/>
                  <w:noWrap/>
                  <w:hideMark/>
                </w:tcPr>
                <w:p w14:paraId="03F2390F"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-1.04</w:t>
                  </w:r>
                </w:p>
              </w:tc>
              <w:tc>
                <w:tcPr>
                  <w:tcW w:w="0" w:type="auto"/>
                  <w:noWrap/>
                  <w:hideMark/>
                </w:tcPr>
                <w:p w14:paraId="7E83A4D9" w14:textId="77777777" w:rsidR="004C0544" w:rsidRPr="000069A4" w:rsidRDefault="004C0544" w:rsidP="002F449A">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rPr>
                  </w:pPr>
                  <w:r w:rsidRPr="000069A4">
                    <w:rPr>
                      <w:rFonts w:ascii="Calibri" w:hAnsi="Calibri"/>
                      <w:color w:val="000000"/>
                      <w:sz w:val="22"/>
                      <w:szCs w:val="22"/>
                    </w:rPr>
                    <w:t>-1.07</w:t>
                  </w:r>
                </w:p>
              </w:tc>
            </w:tr>
          </w:tbl>
          <w:p w14:paraId="1FB96984" w14:textId="77777777" w:rsidR="004C0544" w:rsidRPr="006A1F29" w:rsidRDefault="004C0544" w:rsidP="002F449A">
            <w:pPr>
              <w:jc w:val="both"/>
              <w:rPr>
                <w:color w:val="44546A" w:themeColor="text2"/>
              </w:rPr>
            </w:pPr>
            <w:r w:rsidRPr="00755328">
              <w:rPr>
                <w:i/>
                <w:iCs/>
                <w:color w:val="44546A" w:themeColor="text2"/>
                <w:lang w:val="en-US"/>
              </w:rPr>
              <w:t xml:space="preserve">Source: </w:t>
            </w:r>
            <w:r w:rsidRPr="006A1F29">
              <w:rPr>
                <w:i/>
                <w:iCs/>
                <w:color w:val="44546A" w:themeColor="text2"/>
                <w:lang w:val="en-US"/>
              </w:rPr>
              <w:t>Atlas of Economic Complexity</w:t>
            </w:r>
          </w:p>
          <w:p w14:paraId="2711B2CA" w14:textId="77777777" w:rsidR="004C0544" w:rsidRDefault="004C0544" w:rsidP="002F449A">
            <w:pPr>
              <w:jc w:val="both"/>
            </w:pPr>
          </w:p>
          <w:p w14:paraId="6D04ADF2" w14:textId="77777777" w:rsidR="004C0544" w:rsidRDefault="004C0544" w:rsidP="002F449A">
            <w:pPr>
              <w:spacing w:after="120"/>
              <w:jc w:val="both"/>
            </w:pPr>
            <w:r w:rsidRPr="002943D5">
              <w:t>The implications are that Uganda has the potential to grow well, so long as an encouraging environment is maintained for industries to expand and attempt new things. Support for new endeavours would help industry build knowledge faster, whilst strong human capital and infrastructure will encourage experimentation in ever more complex industries.</w:t>
            </w:r>
          </w:p>
        </w:tc>
      </w:tr>
    </w:tbl>
    <w:p w14:paraId="2A4B0670" w14:textId="77777777" w:rsidR="009D04B3" w:rsidRDefault="00073340"/>
    <w:sectPr w:rsidR="009D04B3" w:rsidSect="004820B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DF98D" w14:textId="77777777" w:rsidR="00073340" w:rsidRDefault="00073340" w:rsidP="004C0544">
      <w:r>
        <w:separator/>
      </w:r>
    </w:p>
  </w:endnote>
  <w:endnote w:type="continuationSeparator" w:id="0">
    <w:p w14:paraId="48B483FE" w14:textId="77777777" w:rsidR="00073340" w:rsidRDefault="00073340" w:rsidP="004C0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3EC76" w14:textId="77777777" w:rsidR="00073340" w:rsidRDefault="00073340" w:rsidP="004C0544">
      <w:r>
        <w:separator/>
      </w:r>
    </w:p>
  </w:footnote>
  <w:footnote w:type="continuationSeparator" w:id="0">
    <w:p w14:paraId="6E727AE4" w14:textId="77777777" w:rsidR="00073340" w:rsidRDefault="00073340" w:rsidP="004C0544">
      <w:r>
        <w:continuationSeparator/>
      </w:r>
    </w:p>
  </w:footnote>
  <w:footnote w:id="1">
    <w:p w14:paraId="37267554" w14:textId="77777777" w:rsidR="004C0544" w:rsidRDefault="004C0544" w:rsidP="004C0544">
      <w:pPr>
        <w:pStyle w:val="FootnoteText"/>
      </w:pPr>
      <w:r>
        <w:rPr>
          <w:rStyle w:val="FootnoteReference"/>
        </w:rPr>
        <w:footnoteRef/>
      </w:r>
      <w:r>
        <w:t xml:space="preserve"> </w:t>
      </w:r>
      <w:r w:rsidRPr="002226DE">
        <w:rPr>
          <w:i/>
          <w:iCs/>
        </w:rPr>
        <w:t>India Slowing, China Resilient in Harvard’s New Global Growth Projections</w:t>
      </w:r>
      <w:r w:rsidRPr="002226DE">
        <w:t xml:space="preserve">: </w:t>
      </w:r>
      <w:hyperlink r:id="rId1" w:history="1">
        <w:r w:rsidRPr="002226DE">
          <w:rPr>
            <w:rStyle w:val="Hyperlink"/>
          </w:rPr>
          <w:t>http://atlas.cid.harvard.edu/growth-projections</w:t>
        </w:r>
      </w:hyperlink>
    </w:p>
  </w:footnote>
  <w:footnote w:id="2">
    <w:p w14:paraId="596FEBE2" w14:textId="77777777" w:rsidR="004C0544" w:rsidRDefault="004C0544" w:rsidP="004C0544">
      <w:pPr>
        <w:pStyle w:val="FootnoteText"/>
      </w:pPr>
      <w:r>
        <w:rPr>
          <w:rStyle w:val="FootnoteReference"/>
        </w:rPr>
        <w:footnoteRef/>
      </w:r>
      <w:r>
        <w:t xml:space="preserve"> </w:t>
      </w:r>
      <w:r w:rsidRPr="00014BC7">
        <w:rPr>
          <w:i/>
          <w:iCs/>
        </w:rPr>
        <w:t>Complexity rankings</w:t>
      </w:r>
      <w:r w:rsidRPr="00014BC7">
        <w:t xml:space="preserve">: </w:t>
      </w:r>
      <w:hyperlink r:id="rId2" w:history="1">
        <w:r w:rsidRPr="00014BC7">
          <w:rPr>
            <w:rStyle w:val="Hyperlink"/>
          </w:rPr>
          <w:t>http://atlas.cid.harvard.edu/rankings</w:t>
        </w:r>
      </w:hyperlink>
      <w:r w:rsidRPr="00014BC7">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544"/>
    <w:rsid w:val="00012D61"/>
    <w:rsid w:val="0007027C"/>
    <w:rsid w:val="00073340"/>
    <w:rsid w:val="003B6681"/>
    <w:rsid w:val="004820B3"/>
    <w:rsid w:val="004C0544"/>
    <w:rsid w:val="00A128F9"/>
    <w:rsid w:val="00D321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B8ED080"/>
  <w15:chartTrackingRefBased/>
  <w15:docId w15:val="{E31E85BB-B088-B647-A3CE-B5EC27A15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544"/>
    <w:rPr>
      <w:rFonts w:ascii="Times New Roman" w:eastAsia="Times New Roman" w:hAnsi="Times New Roman" w:cs="Times New Roman"/>
      <w:lang w:eastAsia="en-GB"/>
    </w:rPr>
  </w:style>
  <w:style w:type="paragraph" w:styleId="Heading2">
    <w:name w:val="heading 2"/>
    <w:basedOn w:val="Normal"/>
    <w:next w:val="Normal"/>
    <w:link w:val="Heading2Char"/>
    <w:uiPriority w:val="9"/>
    <w:unhideWhenUsed/>
    <w:qFormat/>
    <w:rsid w:val="004C0544"/>
    <w:pPr>
      <w:keepNext/>
      <w:keepLines/>
      <w:spacing w:before="40"/>
      <w:outlineLvl w:val="1"/>
    </w:pPr>
    <w:rPr>
      <w:rFonts w:asciiTheme="majorHAnsi" w:eastAsiaTheme="majorEastAsia" w:hAnsiTheme="majorHAnsi" w:cstheme="majorBidi"/>
      <w:color w:val="2F5496" w:themeColor="accent1" w:themeShade="BF"/>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0544"/>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4C0544"/>
    <w:rPr>
      <w:color w:val="0563C1" w:themeColor="hyperlink"/>
      <w:u w:val="single"/>
    </w:rPr>
  </w:style>
  <w:style w:type="paragraph" w:styleId="Caption">
    <w:name w:val="caption"/>
    <w:basedOn w:val="Normal"/>
    <w:next w:val="Normal"/>
    <w:uiPriority w:val="35"/>
    <w:unhideWhenUsed/>
    <w:qFormat/>
    <w:rsid w:val="004C0544"/>
    <w:pPr>
      <w:spacing w:after="200"/>
    </w:pPr>
    <w:rPr>
      <w:rFonts w:asciiTheme="minorHAnsi" w:eastAsiaTheme="minorHAnsi" w:hAnsiTheme="minorHAnsi" w:cstheme="minorBidi"/>
      <w:i/>
      <w:iCs/>
      <w:color w:val="44546A" w:themeColor="text2"/>
      <w:sz w:val="18"/>
      <w:szCs w:val="18"/>
      <w:lang w:eastAsia="en-US"/>
    </w:rPr>
  </w:style>
  <w:style w:type="table" w:styleId="TableGrid">
    <w:name w:val="Table Grid"/>
    <w:basedOn w:val="TableNormal"/>
    <w:uiPriority w:val="39"/>
    <w:rsid w:val="004C0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C0544"/>
    <w:rPr>
      <w:sz w:val="20"/>
      <w:szCs w:val="20"/>
    </w:rPr>
  </w:style>
  <w:style w:type="character" w:customStyle="1" w:styleId="FootnoteTextChar">
    <w:name w:val="Footnote Text Char"/>
    <w:basedOn w:val="DefaultParagraphFont"/>
    <w:link w:val="FootnoteText"/>
    <w:uiPriority w:val="99"/>
    <w:semiHidden/>
    <w:rsid w:val="004C0544"/>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4C0544"/>
    <w:rPr>
      <w:vertAlign w:val="superscript"/>
    </w:rPr>
  </w:style>
  <w:style w:type="table" w:styleId="GridTable4-Accent2">
    <w:name w:val="Grid Table 4 Accent 2"/>
    <w:basedOn w:val="TableNormal"/>
    <w:uiPriority w:val="49"/>
    <w:rsid w:val="004C0544"/>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chart" Target="charts/chart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atlas.cid.harvard.edu/rankings" TargetMode="External"/><Relationship Id="rId1" Type="http://schemas.openxmlformats.org/officeDocument/2006/relationships/hyperlink" Target="http://atlas.cid.harvard.edu/growth-projections"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Users\johnayre\Documents\MOFPED_Work\Growth%20Forums\Economic%20complexity%20index.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Sheet1!$B$4</c:f>
              <c:strCache>
                <c:ptCount val="1"/>
                <c:pt idx="0">
                  <c:v>Uganda</c:v>
                </c:pt>
              </c:strCache>
            </c:strRef>
          </c:tx>
          <c:spPr>
            <a:ln w="28575" cap="rnd">
              <a:solidFill>
                <a:schemeClr val="accent1"/>
              </a:solidFill>
              <a:prstDash val="solid"/>
              <a:round/>
            </a:ln>
            <a:effectLst/>
          </c:spPr>
          <c:marker>
            <c:symbol val="none"/>
          </c:marker>
          <c:cat>
            <c:numRef>
              <c:f>Sheet1!$C$2:$Y$2</c:f>
              <c:numCache>
                <c:formatCode>General</c:formatCode>
                <c:ptCount val="23"/>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pt idx="22">
                  <c:v>2017</c:v>
                </c:pt>
              </c:numCache>
            </c:numRef>
          </c:cat>
          <c:val>
            <c:numRef>
              <c:f>Sheet1!$C$4:$Y$4</c:f>
              <c:numCache>
                <c:formatCode>General</c:formatCode>
                <c:ptCount val="23"/>
                <c:pt idx="0">
                  <c:v>-1.92</c:v>
                </c:pt>
                <c:pt idx="1">
                  <c:v>-1.57</c:v>
                </c:pt>
                <c:pt idx="2">
                  <c:v>-1.3</c:v>
                </c:pt>
                <c:pt idx="3">
                  <c:v>-1.08</c:v>
                </c:pt>
                <c:pt idx="4">
                  <c:v>-1.39</c:v>
                </c:pt>
                <c:pt idx="5">
                  <c:v>-1.3</c:v>
                </c:pt>
                <c:pt idx="6">
                  <c:v>-1.26</c:v>
                </c:pt>
                <c:pt idx="7">
                  <c:v>-1.1399999999999999</c:v>
                </c:pt>
                <c:pt idx="8">
                  <c:v>-1.01</c:v>
                </c:pt>
                <c:pt idx="9">
                  <c:v>-1.05</c:v>
                </c:pt>
                <c:pt idx="10">
                  <c:v>-0.74</c:v>
                </c:pt>
                <c:pt idx="11">
                  <c:v>-0.81</c:v>
                </c:pt>
                <c:pt idx="12">
                  <c:v>-0.72</c:v>
                </c:pt>
                <c:pt idx="13">
                  <c:v>-0.64</c:v>
                </c:pt>
                <c:pt idx="14">
                  <c:v>-0.64</c:v>
                </c:pt>
                <c:pt idx="15">
                  <c:v>-0.56000000000000005</c:v>
                </c:pt>
                <c:pt idx="16">
                  <c:v>-0.5</c:v>
                </c:pt>
                <c:pt idx="17">
                  <c:v>-0.45</c:v>
                </c:pt>
                <c:pt idx="18">
                  <c:v>-0.44</c:v>
                </c:pt>
                <c:pt idx="19">
                  <c:v>-0.44</c:v>
                </c:pt>
                <c:pt idx="20">
                  <c:v>-0.41</c:v>
                </c:pt>
                <c:pt idx="21">
                  <c:v>-0.41</c:v>
                </c:pt>
                <c:pt idx="22">
                  <c:v>-0.55000000000000004</c:v>
                </c:pt>
              </c:numCache>
            </c:numRef>
          </c:val>
          <c:smooth val="0"/>
          <c:extLst>
            <c:ext xmlns:c16="http://schemas.microsoft.com/office/drawing/2014/chart" uri="{C3380CC4-5D6E-409C-BE32-E72D297353CC}">
              <c16:uniqueId val="{00000000-78A6-7C41-8B37-9D8612D97C6C}"/>
            </c:ext>
          </c:extLst>
        </c:ser>
        <c:ser>
          <c:idx val="1"/>
          <c:order val="1"/>
          <c:tx>
            <c:strRef>
              <c:f>Sheet1!$B$5</c:f>
              <c:strCache>
                <c:ptCount val="1"/>
                <c:pt idx="0">
                  <c:v>Kenya</c:v>
                </c:pt>
              </c:strCache>
            </c:strRef>
          </c:tx>
          <c:spPr>
            <a:ln w="28575" cap="rnd">
              <a:solidFill>
                <a:schemeClr val="accent2"/>
              </a:solidFill>
              <a:prstDash val="sysDash"/>
              <a:round/>
            </a:ln>
            <a:effectLst/>
          </c:spPr>
          <c:marker>
            <c:symbol val="none"/>
          </c:marker>
          <c:cat>
            <c:numRef>
              <c:f>Sheet1!$C$2:$Y$2</c:f>
              <c:numCache>
                <c:formatCode>General</c:formatCode>
                <c:ptCount val="23"/>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pt idx="22">
                  <c:v>2017</c:v>
                </c:pt>
              </c:numCache>
            </c:numRef>
          </c:cat>
          <c:val>
            <c:numRef>
              <c:f>Sheet1!$C$5:$Y$5</c:f>
              <c:numCache>
                <c:formatCode>General</c:formatCode>
                <c:ptCount val="23"/>
                <c:pt idx="0">
                  <c:v>-0.45</c:v>
                </c:pt>
                <c:pt idx="1">
                  <c:v>-0.59</c:v>
                </c:pt>
                <c:pt idx="2">
                  <c:v>-0.28000000000000003</c:v>
                </c:pt>
                <c:pt idx="3">
                  <c:v>-0.37</c:v>
                </c:pt>
                <c:pt idx="4">
                  <c:v>-0.38</c:v>
                </c:pt>
                <c:pt idx="5">
                  <c:v>-0.63</c:v>
                </c:pt>
                <c:pt idx="6">
                  <c:v>-0.45</c:v>
                </c:pt>
                <c:pt idx="7">
                  <c:v>-0.64</c:v>
                </c:pt>
                <c:pt idx="8">
                  <c:v>-0.59</c:v>
                </c:pt>
                <c:pt idx="9">
                  <c:v>-0.56999999999999995</c:v>
                </c:pt>
                <c:pt idx="10">
                  <c:v>-0.56999999999999995</c:v>
                </c:pt>
                <c:pt idx="11">
                  <c:v>-0.45</c:v>
                </c:pt>
                <c:pt idx="12">
                  <c:v>-0.47</c:v>
                </c:pt>
                <c:pt idx="13">
                  <c:v>-0.36</c:v>
                </c:pt>
                <c:pt idx="14">
                  <c:v>-0.34</c:v>
                </c:pt>
                <c:pt idx="15">
                  <c:v>-0.33</c:v>
                </c:pt>
                <c:pt idx="16">
                  <c:v>-0.27</c:v>
                </c:pt>
                <c:pt idx="17">
                  <c:v>-0.31</c:v>
                </c:pt>
                <c:pt idx="18">
                  <c:v>-0.39</c:v>
                </c:pt>
                <c:pt idx="19">
                  <c:v>-0.41</c:v>
                </c:pt>
                <c:pt idx="20">
                  <c:v>-0.59</c:v>
                </c:pt>
                <c:pt idx="21">
                  <c:v>-0.53</c:v>
                </c:pt>
                <c:pt idx="22">
                  <c:v>-0.49</c:v>
                </c:pt>
              </c:numCache>
            </c:numRef>
          </c:val>
          <c:smooth val="0"/>
          <c:extLst>
            <c:ext xmlns:c16="http://schemas.microsoft.com/office/drawing/2014/chart" uri="{C3380CC4-5D6E-409C-BE32-E72D297353CC}">
              <c16:uniqueId val="{00000001-78A6-7C41-8B37-9D8612D97C6C}"/>
            </c:ext>
          </c:extLst>
        </c:ser>
        <c:ser>
          <c:idx val="2"/>
          <c:order val="2"/>
          <c:tx>
            <c:strRef>
              <c:f>Sheet1!$B$6</c:f>
              <c:strCache>
                <c:ptCount val="1"/>
                <c:pt idx="0">
                  <c:v>Tanzania</c:v>
                </c:pt>
              </c:strCache>
            </c:strRef>
          </c:tx>
          <c:spPr>
            <a:ln w="28575" cap="rnd">
              <a:solidFill>
                <a:schemeClr val="accent3"/>
              </a:solidFill>
              <a:prstDash val="dash"/>
              <a:round/>
            </a:ln>
            <a:effectLst/>
          </c:spPr>
          <c:marker>
            <c:symbol val="none"/>
          </c:marker>
          <c:cat>
            <c:numRef>
              <c:f>Sheet1!$C$2:$Y$2</c:f>
              <c:numCache>
                <c:formatCode>General</c:formatCode>
                <c:ptCount val="23"/>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pt idx="22">
                  <c:v>2017</c:v>
                </c:pt>
              </c:numCache>
            </c:numRef>
          </c:cat>
          <c:val>
            <c:numRef>
              <c:f>Sheet1!$C$6:$Y$6</c:f>
              <c:numCache>
                <c:formatCode>General</c:formatCode>
                <c:ptCount val="23"/>
                <c:pt idx="0">
                  <c:v>-1.18</c:v>
                </c:pt>
                <c:pt idx="1">
                  <c:v>-1.57</c:v>
                </c:pt>
                <c:pt idx="2">
                  <c:v>-1.21</c:v>
                </c:pt>
                <c:pt idx="3">
                  <c:v>-0.96</c:v>
                </c:pt>
                <c:pt idx="4">
                  <c:v>-0.86</c:v>
                </c:pt>
                <c:pt idx="5">
                  <c:v>-1.2</c:v>
                </c:pt>
                <c:pt idx="6">
                  <c:v>-1.31</c:v>
                </c:pt>
                <c:pt idx="7">
                  <c:v>-1.27</c:v>
                </c:pt>
                <c:pt idx="8">
                  <c:v>-1.1399999999999999</c:v>
                </c:pt>
                <c:pt idx="9">
                  <c:v>-1.02</c:v>
                </c:pt>
                <c:pt idx="10">
                  <c:v>-1.01</c:v>
                </c:pt>
                <c:pt idx="11">
                  <c:v>-0.95</c:v>
                </c:pt>
                <c:pt idx="12">
                  <c:v>-0.77</c:v>
                </c:pt>
                <c:pt idx="13">
                  <c:v>-0.72</c:v>
                </c:pt>
                <c:pt idx="14">
                  <c:v>-0.8</c:v>
                </c:pt>
                <c:pt idx="15">
                  <c:v>-0.79</c:v>
                </c:pt>
                <c:pt idx="16">
                  <c:v>-0.75</c:v>
                </c:pt>
                <c:pt idx="17">
                  <c:v>-0.62</c:v>
                </c:pt>
                <c:pt idx="18">
                  <c:v>-0.72</c:v>
                </c:pt>
                <c:pt idx="19">
                  <c:v>-0.94</c:v>
                </c:pt>
                <c:pt idx="20">
                  <c:v>-0.87</c:v>
                </c:pt>
                <c:pt idx="21">
                  <c:v>-1.04</c:v>
                </c:pt>
                <c:pt idx="22">
                  <c:v>-1.07</c:v>
                </c:pt>
              </c:numCache>
            </c:numRef>
          </c:val>
          <c:smooth val="0"/>
          <c:extLst>
            <c:ext xmlns:c16="http://schemas.microsoft.com/office/drawing/2014/chart" uri="{C3380CC4-5D6E-409C-BE32-E72D297353CC}">
              <c16:uniqueId val="{00000002-78A6-7C41-8B37-9D8612D97C6C}"/>
            </c:ext>
          </c:extLst>
        </c:ser>
        <c:dLbls>
          <c:showLegendKey val="0"/>
          <c:showVal val="0"/>
          <c:showCatName val="0"/>
          <c:showSerName val="0"/>
          <c:showPercent val="0"/>
          <c:showBubbleSize val="0"/>
        </c:dLbls>
        <c:smooth val="0"/>
        <c:axId val="209104280"/>
        <c:axId val="209105848"/>
      </c:lineChart>
      <c:catAx>
        <c:axId val="209104280"/>
        <c:scaling>
          <c:orientation val="minMax"/>
        </c:scaling>
        <c:delete val="0"/>
        <c:axPos val="b"/>
        <c:numFmt formatCode="General" sourceLinked="1"/>
        <c:majorTickMark val="none"/>
        <c:minorTickMark val="none"/>
        <c:tickLblPos val="high"/>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1" u="none" strike="noStrike" kern="1200" baseline="0">
                <a:solidFill>
                  <a:schemeClr val="tx1">
                    <a:lumMod val="65000"/>
                    <a:lumOff val="35000"/>
                  </a:schemeClr>
                </a:solidFill>
                <a:latin typeface="+mn-lt"/>
                <a:ea typeface="+mn-ea"/>
                <a:cs typeface="+mn-cs"/>
              </a:defRPr>
            </a:pPr>
            <a:endParaRPr lang="en-US"/>
          </a:p>
        </c:txPr>
        <c:crossAx val="209105848"/>
        <c:crosses val="autoZero"/>
        <c:auto val="1"/>
        <c:lblAlgn val="ctr"/>
        <c:lblOffset val="100"/>
        <c:noMultiLvlLbl val="0"/>
      </c:catAx>
      <c:valAx>
        <c:axId val="209105848"/>
        <c:scaling>
          <c:orientation val="minMax"/>
          <c:min val="-2"/>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20910428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902</Words>
  <Characters>5147</Characters>
  <Application>Microsoft Office Word</Application>
  <DocSecurity>0</DocSecurity>
  <Lines>42</Lines>
  <Paragraphs>12</Paragraphs>
  <ScaleCrop>false</ScaleCrop>
  <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Ayre</dc:creator>
  <cp:keywords/>
  <dc:description/>
  <cp:lastModifiedBy>John Ayre</cp:lastModifiedBy>
  <cp:revision>1</cp:revision>
  <dcterms:created xsi:type="dcterms:W3CDTF">2019-08-21T05:33:00Z</dcterms:created>
  <dcterms:modified xsi:type="dcterms:W3CDTF">2019-08-21T05:34:00Z</dcterms:modified>
</cp:coreProperties>
</file>